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54011" w:rsidR="00437AEB" w:rsidP="0026547A" w:rsidRDefault="00EF7483" w14:paraId="67D093BD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Sheet</w:t>
      </w:r>
      <w:r w:rsidR="00F734E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Asset</w:t>
      </w:r>
      <w:r w:rsidR="00F734E2">
        <w:rPr>
          <w:rFonts w:ascii="Times New Roman" w:hAnsi="Times New Roman" w:cs="Times New Roman"/>
          <w:b/>
          <w:sz w:val="24"/>
          <w:szCs w:val="24"/>
        </w:rPr>
        <w:t xml:space="preserve"> Purchase Agreement</w:t>
      </w:r>
    </w:p>
    <w:p w:rsidR="00805E03" w:rsidP="00EF7483" w:rsidRDefault="00EF7483" w14:paraId="47C0AACD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non-binding T</w:t>
      </w:r>
      <w:r w:rsidR="00CE036C">
        <w:rPr>
          <w:rFonts w:ascii="Times New Roman" w:hAnsi="Times New Roman" w:cs="Times New Roman"/>
          <w:sz w:val="24"/>
          <w:szCs w:val="24"/>
        </w:rPr>
        <w:t>erm Sheet outlines the principal</w:t>
      </w:r>
      <w:r>
        <w:rPr>
          <w:rFonts w:ascii="Times New Roman" w:hAnsi="Times New Roman" w:cs="Times New Roman"/>
          <w:sz w:val="24"/>
          <w:szCs w:val="24"/>
        </w:rPr>
        <w:t xml:space="preserve"> terms </w:t>
      </w:r>
      <w:r w:rsidR="00A94734">
        <w:rPr>
          <w:rFonts w:ascii="Times New Roman" w:hAnsi="Times New Roman" w:cs="Times New Roman"/>
          <w:sz w:val="24"/>
          <w:szCs w:val="24"/>
        </w:rPr>
        <w:t>(the “</w:t>
      </w:r>
      <w:r w:rsidRPr="00A94734" w:rsidR="00A94734">
        <w:rPr>
          <w:rFonts w:ascii="Times New Roman" w:hAnsi="Times New Roman" w:cs="Times New Roman"/>
          <w:b/>
          <w:i/>
          <w:sz w:val="24"/>
          <w:szCs w:val="24"/>
        </w:rPr>
        <w:t>Transaction</w:t>
      </w:r>
      <w:r w:rsidR="00A94734">
        <w:rPr>
          <w:rFonts w:ascii="Times New Roman" w:hAnsi="Times New Roman" w:cs="Times New Roman"/>
          <w:sz w:val="24"/>
          <w:szCs w:val="24"/>
        </w:rPr>
        <w:t xml:space="preserve">”) </w:t>
      </w:r>
      <w:r>
        <w:rPr>
          <w:rFonts w:ascii="Times New Roman" w:hAnsi="Times New Roman" w:cs="Times New Roman"/>
          <w:sz w:val="24"/>
          <w:szCs w:val="24"/>
        </w:rPr>
        <w:t>pursuant to which Indianapolis Power &amp; Light Company</w:t>
      </w:r>
      <w:r w:rsidR="00980369">
        <w:rPr>
          <w:rFonts w:ascii="Times New Roman" w:hAnsi="Times New Roman" w:cs="Times New Roman"/>
          <w:sz w:val="24"/>
          <w:szCs w:val="24"/>
        </w:rPr>
        <w:t xml:space="preserve"> d/b/a AES Indiana</w:t>
      </w:r>
      <w:r>
        <w:rPr>
          <w:rFonts w:ascii="Times New Roman" w:hAnsi="Times New Roman" w:cs="Times New Roman"/>
          <w:sz w:val="24"/>
          <w:szCs w:val="24"/>
        </w:rPr>
        <w:t xml:space="preserve"> (“</w:t>
      </w:r>
      <w:r w:rsidR="00980369">
        <w:rPr>
          <w:rFonts w:ascii="Times New Roman" w:hAnsi="Times New Roman" w:cs="Times New Roman"/>
          <w:b/>
          <w:i/>
          <w:sz w:val="24"/>
          <w:szCs w:val="24"/>
        </w:rPr>
        <w:t>AESI</w:t>
      </w:r>
      <w:r>
        <w:rPr>
          <w:rFonts w:ascii="Times New Roman" w:hAnsi="Times New Roman" w:cs="Times New Roman"/>
          <w:sz w:val="24"/>
          <w:szCs w:val="24"/>
        </w:rPr>
        <w:t xml:space="preserve">”) proposes to purchase </w:t>
      </w:r>
      <w:r w:rsidR="00F66C4C">
        <w:rPr>
          <w:rFonts w:ascii="Times New Roman" w:hAnsi="Times New Roman" w:cs="Times New Roman"/>
          <w:sz w:val="24"/>
          <w:szCs w:val="24"/>
        </w:rPr>
        <w:t>substantially all of the</w:t>
      </w:r>
      <w:r>
        <w:rPr>
          <w:rFonts w:ascii="Times New Roman" w:hAnsi="Times New Roman" w:cs="Times New Roman"/>
          <w:sz w:val="24"/>
          <w:szCs w:val="24"/>
        </w:rPr>
        <w:t xml:space="preserve"> assets</w:t>
      </w:r>
      <w:r w:rsidR="009767CE">
        <w:rPr>
          <w:rFonts w:ascii="Times New Roman" w:hAnsi="Times New Roman" w:cs="Times New Roman"/>
          <w:sz w:val="24"/>
          <w:szCs w:val="24"/>
        </w:rPr>
        <w:t xml:space="preserve"> (the “</w:t>
      </w:r>
      <w:r w:rsidRPr="009767CE" w:rsidR="009767CE">
        <w:rPr>
          <w:rFonts w:ascii="Times New Roman" w:hAnsi="Times New Roman" w:cs="Times New Roman"/>
          <w:b/>
          <w:i/>
          <w:sz w:val="24"/>
          <w:szCs w:val="24"/>
        </w:rPr>
        <w:t>Assets</w:t>
      </w:r>
      <w:r w:rsidR="009767CE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of [SELLER’S NAME] (the “</w:t>
      </w:r>
      <w:r w:rsidRPr="00EF7483">
        <w:rPr>
          <w:rFonts w:ascii="Times New Roman" w:hAnsi="Times New Roman" w:cs="Times New Roman"/>
          <w:b/>
          <w:i/>
          <w:sz w:val="24"/>
          <w:szCs w:val="24"/>
        </w:rPr>
        <w:t>Seller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66C4C">
        <w:rPr>
          <w:rFonts w:ascii="Times New Roman" w:hAnsi="Times New Roman" w:cs="Times New Roman"/>
          <w:sz w:val="24"/>
          <w:szCs w:val="24"/>
        </w:rPr>
        <w:t xml:space="preserve">; collectively, </w:t>
      </w:r>
      <w:r w:rsidR="00980369">
        <w:rPr>
          <w:rFonts w:ascii="Times New Roman" w:hAnsi="Times New Roman" w:cs="Times New Roman"/>
          <w:sz w:val="24"/>
          <w:szCs w:val="24"/>
        </w:rPr>
        <w:t>AESI</w:t>
      </w:r>
      <w:r w:rsidRPr="00F66C4C" w:rsidR="00F66C4C">
        <w:rPr>
          <w:rFonts w:ascii="Times New Roman" w:hAnsi="Times New Roman" w:cs="Times New Roman"/>
          <w:sz w:val="24"/>
          <w:szCs w:val="24"/>
        </w:rPr>
        <w:t xml:space="preserve"> and </w:t>
      </w:r>
      <w:r w:rsidR="00F66C4C">
        <w:rPr>
          <w:rFonts w:ascii="Times New Roman" w:hAnsi="Times New Roman" w:cs="Times New Roman"/>
          <w:sz w:val="24"/>
          <w:szCs w:val="24"/>
        </w:rPr>
        <w:t>the Seller</w:t>
      </w:r>
      <w:r w:rsidRPr="00F66C4C" w:rsidR="00F66C4C">
        <w:rPr>
          <w:rFonts w:ascii="Times New Roman" w:hAnsi="Times New Roman" w:cs="Times New Roman"/>
          <w:sz w:val="24"/>
          <w:szCs w:val="24"/>
        </w:rPr>
        <w:t xml:space="preserve"> may be referred to herein as the “</w:t>
      </w:r>
      <w:r w:rsidRPr="00F66C4C" w:rsidR="00F66C4C">
        <w:rPr>
          <w:rFonts w:ascii="Times New Roman" w:hAnsi="Times New Roman" w:cs="Times New Roman"/>
          <w:b/>
          <w:i/>
          <w:sz w:val="24"/>
          <w:szCs w:val="24"/>
        </w:rPr>
        <w:t>Parties</w:t>
      </w:r>
      <w:r w:rsidRPr="00F66C4C" w:rsidR="00F66C4C">
        <w:rPr>
          <w:rFonts w:ascii="Times New Roman" w:hAnsi="Times New Roman" w:cs="Times New Roman"/>
          <w:sz w:val="24"/>
          <w:szCs w:val="24"/>
        </w:rPr>
        <w:t>” and each, individually, as a “</w:t>
      </w:r>
      <w:r w:rsidRPr="00F66C4C" w:rsidR="00F66C4C">
        <w:rPr>
          <w:rFonts w:ascii="Times New Roman" w:hAnsi="Times New Roman" w:cs="Times New Roman"/>
          <w:b/>
          <w:i/>
          <w:sz w:val="24"/>
          <w:szCs w:val="24"/>
        </w:rPr>
        <w:t>Party</w:t>
      </w:r>
      <w:r w:rsidRPr="00F66C4C" w:rsidR="00F66C4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. Neither Party shall be contractually obligated to move forward with </w:t>
      </w:r>
      <w:r w:rsidR="00A94734">
        <w:rPr>
          <w:rFonts w:ascii="Times New Roman" w:hAnsi="Times New Roman" w:cs="Times New Roman"/>
          <w:sz w:val="24"/>
          <w:szCs w:val="24"/>
        </w:rPr>
        <w:t>the Transaction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 unless and until the Parties execute a final</w:t>
      </w:r>
      <w:r w:rsidR="00F66C4C">
        <w:rPr>
          <w:rFonts w:ascii="Times New Roman" w:hAnsi="Times New Roman" w:cs="Times New Roman"/>
          <w:sz w:val="24"/>
          <w:szCs w:val="24"/>
        </w:rPr>
        <w:t xml:space="preserve">, definitive 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agreement for </w:t>
      </w:r>
      <w:r w:rsidR="00F66C4C">
        <w:rPr>
          <w:rFonts w:ascii="Times New Roman" w:hAnsi="Times New Roman" w:cs="Times New Roman"/>
          <w:sz w:val="24"/>
          <w:szCs w:val="24"/>
        </w:rPr>
        <w:t>the Transaction (the “</w:t>
      </w:r>
      <w:r w:rsidRPr="00F66C4C" w:rsidR="00F66C4C">
        <w:rPr>
          <w:rFonts w:ascii="Times New Roman" w:hAnsi="Times New Roman" w:cs="Times New Roman"/>
          <w:b/>
          <w:i/>
          <w:sz w:val="24"/>
          <w:szCs w:val="24"/>
        </w:rPr>
        <w:t>Purchase Agreement</w:t>
      </w:r>
      <w:r w:rsidR="00F66C4C">
        <w:rPr>
          <w:rFonts w:ascii="Times New Roman" w:hAnsi="Times New Roman" w:cs="Times New Roman"/>
          <w:sz w:val="24"/>
          <w:szCs w:val="24"/>
        </w:rPr>
        <w:t>”)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. </w:t>
      </w:r>
      <w:r w:rsidR="009767CE">
        <w:rPr>
          <w:rFonts w:ascii="Times New Roman" w:hAnsi="Times New Roman" w:cs="Times New Roman"/>
          <w:sz w:val="24"/>
          <w:szCs w:val="24"/>
        </w:rPr>
        <w:t>The t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erms set forth below do not constitute all of the terms and conditions that </w:t>
      </w:r>
      <w:r w:rsidR="00980369">
        <w:rPr>
          <w:rFonts w:ascii="Times New Roman" w:hAnsi="Times New Roman" w:cs="Times New Roman"/>
          <w:sz w:val="24"/>
          <w:szCs w:val="24"/>
        </w:rPr>
        <w:t>AESI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 would require in </w:t>
      </w:r>
      <w:r w:rsidR="00F66C4C">
        <w:rPr>
          <w:rFonts w:ascii="Times New Roman" w:hAnsi="Times New Roman" w:cs="Times New Roman"/>
          <w:sz w:val="24"/>
          <w:szCs w:val="24"/>
        </w:rPr>
        <w:t>the Purchase Agreement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 and</w:t>
      </w:r>
      <w:r w:rsidR="009767CE">
        <w:rPr>
          <w:rFonts w:ascii="Times New Roman" w:hAnsi="Times New Roman" w:cs="Times New Roman"/>
          <w:sz w:val="24"/>
          <w:szCs w:val="24"/>
        </w:rPr>
        <w:t xml:space="preserve"> do not create </w:t>
      </w:r>
      <w:r w:rsidRPr="009767CE" w:rsidR="009767CE">
        <w:rPr>
          <w:rFonts w:ascii="Times New Roman" w:hAnsi="Times New Roman" w:cs="Times New Roman"/>
          <w:sz w:val="24"/>
          <w:szCs w:val="24"/>
        </w:rPr>
        <w:t xml:space="preserve">a legally binding or enforceable agreement or commitment on the part of </w:t>
      </w:r>
      <w:r w:rsidR="00980369">
        <w:rPr>
          <w:rFonts w:ascii="Times New Roman" w:hAnsi="Times New Roman" w:cs="Times New Roman"/>
          <w:sz w:val="24"/>
          <w:szCs w:val="24"/>
        </w:rPr>
        <w:t>AESI</w:t>
      </w:r>
      <w:r w:rsidR="009767CE">
        <w:rPr>
          <w:rFonts w:ascii="Times New Roman" w:hAnsi="Times New Roman" w:cs="Times New Roman"/>
          <w:sz w:val="24"/>
          <w:szCs w:val="24"/>
        </w:rPr>
        <w:t xml:space="preserve"> or the</w:t>
      </w:r>
      <w:r w:rsidRPr="009767CE" w:rsidR="009767CE">
        <w:rPr>
          <w:rFonts w:ascii="Times New Roman" w:hAnsi="Times New Roman" w:cs="Times New Roman"/>
          <w:sz w:val="24"/>
          <w:szCs w:val="24"/>
        </w:rPr>
        <w:t xml:space="preserve"> Seller with respect to the Transaction</w:t>
      </w:r>
      <w:r w:rsidRPr="00155C7A" w:rsidR="00805E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780" w:rsidP="009D30E0" w:rsidRDefault="00B56780" w14:paraId="45655EF4" w14:textId="77777777">
      <w:pPr>
        <w:widowControl w:val="0"/>
        <w:spacing w:before="120" w:after="120" w:line="240" w:lineRule="auto"/>
        <w:ind w:right="-20"/>
        <w:jc w:val="both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CellMar>
          <w:left w:w="187" w:type="dxa"/>
          <w:right w:w="187" w:type="dxa"/>
        </w:tblCellMar>
        <w:tblLook w:val="04A0" w:firstRow="1" w:lastRow="0" w:firstColumn="1" w:lastColumn="0" w:noHBand="0" w:noVBand="1"/>
      </w:tblPr>
      <w:tblGrid>
        <w:gridCol w:w="2515"/>
        <w:gridCol w:w="6835"/>
      </w:tblGrid>
      <w:tr w:rsidR="00D87931" w:rsidTr="00360B0B" w14:paraId="6D4ADDF4" w14:textId="77777777">
        <w:trPr>
          <w:tblHeader/>
        </w:trPr>
        <w:tc>
          <w:tcPr>
            <w:tcW w:w="2515" w:type="dxa"/>
            <w:shd w:val="clear" w:color="auto" w:fill="D9D9D9" w:themeFill="background1" w:themeFillShade="D9"/>
          </w:tcPr>
          <w:p w:rsidRPr="00844DFA" w:rsidR="00D87931" w:rsidP="00EE4A41" w:rsidRDefault="009E5385" w14:paraId="5CF8805E" w14:textId="77777777">
            <w:pPr>
              <w:widowControl w:val="0"/>
              <w:spacing w:before="120" w:after="120"/>
              <w:ind w:right="-20"/>
              <w:rPr>
                <w:rFonts w:ascii="Arial Bold" w:hAnsi="Arial Bold" w:eastAsia="Times New Roman" w:cs="Arial"/>
                <w:b/>
                <w:bCs/>
                <w:smallCaps/>
                <w:sz w:val="24"/>
                <w:szCs w:val="24"/>
              </w:rPr>
            </w:pPr>
            <w:r w:rsidRPr="00844DFA">
              <w:rPr>
                <w:rFonts w:ascii="Arial Bold" w:hAnsi="Arial Bold" w:eastAsia="Times New Roman" w:cs="Arial"/>
                <w:b/>
                <w:bCs/>
                <w:smallCaps/>
                <w:sz w:val="24"/>
                <w:szCs w:val="24"/>
              </w:rPr>
              <w:t>Term</w:t>
            </w:r>
          </w:p>
        </w:tc>
        <w:tc>
          <w:tcPr>
            <w:tcW w:w="6835" w:type="dxa"/>
            <w:shd w:val="clear" w:color="auto" w:fill="D9D9D9" w:themeFill="background1" w:themeFillShade="D9"/>
          </w:tcPr>
          <w:p w:rsidRPr="00844DFA" w:rsidR="00D87931" w:rsidP="00EE4A41" w:rsidRDefault="00D87931" w14:paraId="44618C29" w14:textId="77777777">
            <w:pPr>
              <w:widowControl w:val="0"/>
              <w:spacing w:before="120" w:after="120"/>
              <w:ind w:right="-20"/>
              <w:rPr>
                <w:rFonts w:ascii="Arial Bold" w:hAnsi="Arial Bold" w:eastAsia="Times New Roman" w:cs="Arial"/>
                <w:b/>
                <w:bCs/>
                <w:smallCaps/>
                <w:sz w:val="24"/>
                <w:szCs w:val="24"/>
              </w:rPr>
            </w:pPr>
            <w:r w:rsidRPr="00844DFA">
              <w:rPr>
                <w:rFonts w:ascii="Arial Bold" w:hAnsi="Arial Bold" w:eastAsia="Times New Roman" w:cs="Arial"/>
                <w:b/>
                <w:bCs/>
                <w:smallCaps/>
                <w:sz w:val="24"/>
                <w:szCs w:val="24"/>
              </w:rPr>
              <w:t>Summary</w:t>
            </w:r>
          </w:p>
        </w:tc>
      </w:tr>
      <w:tr w:rsidR="00D87931" w:rsidTr="00360B0B" w14:paraId="593FFCCF" w14:textId="77777777">
        <w:tc>
          <w:tcPr>
            <w:tcW w:w="2515" w:type="dxa"/>
          </w:tcPr>
          <w:p w:rsidRPr="00360B0B" w:rsidR="00D87931" w:rsidP="00EE4A41" w:rsidRDefault="00D87931" w14:paraId="6C31CA68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Parties</w:t>
            </w:r>
          </w:p>
        </w:tc>
        <w:tc>
          <w:tcPr>
            <w:tcW w:w="6835" w:type="dxa"/>
          </w:tcPr>
          <w:p w:rsidRPr="009D30E0" w:rsidR="00D87931" w:rsidP="00EE4A41" w:rsidRDefault="00E45108" w14:paraId="4D2EDFDB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Seller: </w:t>
            </w:r>
            <w:r w:rsidR="009767C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Seller</w:t>
            </w:r>
          </w:p>
          <w:p w:rsidRPr="009D30E0" w:rsidR="00D87931" w:rsidP="009767CE" w:rsidRDefault="00D87931" w14:paraId="1A4EB9F0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9D30E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Buyer: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</w:p>
        </w:tc>
      </w:tr>
      <w:tr w:rsidR="00D87931" w:rsidTr="00360B0B" w14:paraId="4F3D48CC" w14:textId="77777777">
        <w:tc>
          <w:tcPr>
            <w:tcW w:w="2515" w:type="dxa"/>
          </w:tcPr>
          <w:p w:rsidRPr="00360B0B" w:rsidR="00D87931" w:rsidP="00EE4A41" w:rsidRDefault="009767CE" w14:paraId="06D27C20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Purchased Assets; Assumed Liabilities </w:t>
            </w:r>
          </w:p>
        </w:tc>
        <w:tc>
          <w:tcPr>
            <w:tcW w:w="6835" w:type="dxa"/>
          </w:tcPr>
          <w:p w:rsidRPr="0058477F" w:rsidR="00E94163" w:rsidP="00F349AB" w:rsidRDefault="0058477F" w14:paraId="53F092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of the following to the extent owned or used by the Seller: (i) all real property; (ii) all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asements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ights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ay;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nventories;</w:t>
            </w:r>
            <w:bookmarkStart w:name="_Ref384129212"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(iii) certain contracts to be identified by </w:t>
            </w:r>
            <w:r w:rsidR="00980369">
              <w:rPr>
                <w:rFonts w:ascii="Times New Roman" w:hAnsi="Times New Roman" w:cs="Times New Roman"/>
                <w:sz w:val="24"/>
                <w:szCs w:val="24"/>
              </w:rPr>
              <w:t>AESI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during diligence;</w:t>
            </w:r>
            <w:bookmarkStart w:name="_Ref384071059" w:id="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(iv) certain p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ermits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identified by </w:t>
            </w:r>
            <w:r w:rsidR="00980369">
              <w:rPr>
                <w:rFonts w:ascii="Times New Roman" w:hAnsi="Times New Roman" w:cs="Times New Roman"/>
                <w:sz w:val="24"/>
                <w:szCs w:val="24"/>
              </w:rPr>
              <w:t>AESI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during diligence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ntellectual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roperty;</w:t>
            </w:r>
            <w:bookmarkStart w:name="_Ref487380586"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(vi) certain allowances, credits, abatements, and other incentives to be identified by </w:t>
            </w:r>
            <w:r w:rsidR="00980369">
              <w:rPr>
                <w:rFonts w:ascii="Times New Roman" w:hAnsi="Times New Roman" w:cs="Times New Roman"/>
                <w:sz w:val="24"/>
                <w:szCs w:val="24"/>
              </w:rPr>
              <w:t>AESI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FA3">
              <w:rPr>
                <w:rFonts w:ascii="Times New Roman" w:hAnsi="Times New Roman" w:cs="Times New Roman"/>
                <w:sz w:val="24"/>
                <w:szCs w:val="24"/>
              </w:rPr>
              <w:t>during diligence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384133447" w:id="3"/>
            <w:bookmarkStart w:name="_Ref487732473" w:id="4"/>
            <w:bookmarkEnd w:id="2"/>
            <w:r w:rsidRPr="00267FA3">
              <w:rPr>
                <w:rFonts w:ascii="Times New Roman" w:hAnsi="Times New Roman" w:cs="Times New Roman"/>
                <w:sz w:val="24"/>
                <w:szCs w:val="24"/>
              </w:rPr>
              <w:t xml:space="preserve"> (vii) 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Pr="00267F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ax assets related to the other </w:t>
            </w:r>
            <w:r w:rsidRPr="00267FA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ransferred </w:t>
            </w:r>
            <w:r w:rsidRPr="00267FA3" w:rsidR="00A127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ssets or </w:t>
            </w:r>
            <w:r w:rsidRPr="00267F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7FA3" w:rsidR="009767CE">
              <w:rPr>
                <w:rFonts w:ascii="Times New Roman" w:hAnsi="Times New Roman" w:cs="Times New Roman"/>
                <w:sz w:val="24"/>
                <w:szCs w:val="24"/>
              </w:rPr>
              <w:t>ssumed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iabilities;</w:t>
            </w:r>
            <w:bookmarkStart w:name="_Ref384036793" w:id="5"/>
            <w:bookmarkStart w:name="_Ref487380612" w:id="6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(viii)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the buildings,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mprovements, machinery, equipment (including communications equipment), vehicles, furniture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other tangible personal property located on or at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Seller’s r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eal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roperty and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asements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ights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ay that are primarily used in the business and operation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Seller’s facilities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384036792" w:id="7"/>
            <w:bookmarkStart w:name="_Ref487458414" w:id="8"/>
            <w:bookmarkEnd w:id="5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(ix)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all transferable warranties and guarantees from manufacturers, vendors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other third parties with respect to any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mprovement or item of real or tangible personal property constituting part of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ransferred Assets;</w:t>
            </w:r>
            <w:bookmarkEnd w:id="7"/>
            <w:bookmarkEnd w:id="8"/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(x)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all books, purchase orders, operating records, operating, safety and maintenance manuals, engineering design plans, blueprints and as-built plans, specifications, procedures, studies, reports, equipment repair, safety, maintenance or service records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similar items that are primarily used in the business and operation of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Seller’s facilities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384036791" w:id="9"/>
            <w:bookmarkStart w:name="_Ref384069617" w:id="10"/>
            <w:bookmarkStart w:name="_Ref487380621" w:id="11"/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(xi)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the electrical transmission facilities primarily associated with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Seller’s facilities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385332016" w:id="12"/>
            <w:bookmarkStart w:name="_Ref487380625" w:id="13"/>
            <w:bookmarkEnd w:id="9"/>
            <w:bookmarkEnd w:id="10"/>
            <w:bookmarkEnd w:id="11"/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(xii)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all of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Seller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s right, title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interest in and to all power generation function equipment that is primarily associated with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Seller’s facilities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487380888" w:id="14"/>
            <w:bookmarkEnd w:id="12"/>
            <w:bookmarkEnd w:id="13"/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(xiii)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all right, title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interest in and a license or other right to use any drawings, designs, specifications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and other documents owned by or licensed to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Seller which are necessary for the licensing, operation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ecommissioning of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Seller’s facilities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name="_Ref386769348" w:id="15"/>
            <w:bookmarkStart w:name="_Ref489959988" w:id="16"/>
            <w:bookmarkStart w:name="_Ref487380889" w:id="17"/>
            <w:bookmarkEnd w:id="14"/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349AB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the right to receive on and after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closing of the Transaction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 energy and ancillary services revenues from bilateral markets with respect to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ransferred Assets;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 and (x</w:t>
            </w:r>
            <w:r w:rsidR="00F349A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bookmarkEnd w:id="15"/>
            <w:bookmarkEnd w:id="16"/>
            <w:bookmarkEnd w:id="17"/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the rights of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 xml:space="preserve">Seller in and to any causes of action against third parties relating to the </w:t>
            </w:r>
            <w:r w:rsidR="00FE14D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8477F" w:rsidR="009767CE">
              <w:rPr>
                <w:rFonts w:ascii="Times New Roman" w:hAnsi="Times New Roman" w:cs="Times New Roman"/>
                <w:sz w:val="24"/>
                <w:szCs w:val="24"/>
              </w:rPr>
              <w:t>ransferred Assets or any part thereof.</w:t>
            </w:r>
          </w:p>
        </w:tc>
      </w:tr>
      <w:tr w:rsidR="00D87931" w:rsidTr="00360B0B" w14:paraId="7AA3FC01" w14:textId="77777777">
        <w:tc>
          <w:tcPr>
            <w:tcW w:w="2515" w:type="dxa"/>
          </w:tcPr>
          <w:p w:rsidRPr="00360B0B" w:rsidR="00E94163" w:rsidP="00EE4A41" w:rsidRDefault="00FE14DF" w14:paraId="7D1E9106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>Excluded Assets</w:t>
            </w:r>
          </w:p>
        </w:tc>
        <w:tc>
          <w:tcPr>
            <w:tcW w:w="6835" w:type="dxa"/>
          </w:tcPr>
          <w:p w:rsidRPr="009D30E0" w:rsidR="00D87931" w:rsidP="00EE4A41" w:rsidRDefault="00923556" w14:paraId="18AE87FF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Assets will not include, and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</w:t>
            </w: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Seller will retain, cash, accounts receivable, and accounts payable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and certain other assets to be identified by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during diligence</w:t>
            </w:r>
          </w:p>
        </w:tc>
      </w:tr>
      <w:tr w:rsidR="00E94163" w:rsidTr="00360B0B" w14:paraId="60485DBD" w14:textId="77777777">
        <w:tc>
          <w:tcPr>
            <w:tcW w:w="2515" w:type="dxa"/>
          </w:tcPr>
          <w:p w:rsidRPr="00360B0B" w:rsidR="00E94163" w:rsidP="0069651D" w:rsidRDefault="00923556" w14:paraId="00079F50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Purchase Price</w:t>
            </w:r>
          </w:p>
        </w:tc>
        <w:tc>
          <w:tcPr>
            <w:tcW w:w="6835" w:type="dxa"/>
          </w:tcPr>
          <w:p w:rsidR="00E94163" w:rsidP="00923556" w:rsidRDefault="00923556" w14:paraId="3F7777BC" w14:textId="77777777">
            <w:pPr>
              <w:widowControl w:val="0"/>
              <w:tabs>
                <w:tab w:val="left" w:pos="2550"/>
              </w:tabs>
              <w:spacing w:before="120" w:after="120"/>
              <w:ind w:right="-2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bookmarkStart w:name="_Ref487388584" w:id="18"/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aggregate purchase price for the Assets </w:t>
            </w:r>
            <w:r w:rsidR="00A127BF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and assumed liabilities </w:t>
            </w: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(the “</w:t>
            </w:r>
            <w:r w:rsidRPr="00923556"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Purchase Price</w:t>
            </w: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”)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will</w:t>
            </w: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be an amount in cash equal to </w:t>
            </w:r>
            <w:bookmarkEnd w:id="18"/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[•]</w:t>
            </w:r>
            <w:r w:rsidRP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.</w:t>
            </w:r>
          </w:p>
          <w:p w:rsidR="004F0E3E" w:rsidP="004F0E3E" w:rsidRDefault="004F0E3E" w14:paraId="65393F90" w14:textId="77777777">
            <w:pPr>
              <w:widowControl w:val="0"/>
              <w:tabs>
                <w:tab w:val="left" w:pos="2550"/>
              </w:tabs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4F0E3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During due diligence,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the Seller</w:t>
            </w:r>
            <w:r w:rsidRPr="004F0E3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will determine and mutually agree upon in writing appropriate closing amount targets (“</w:t>
            </w:r>
            <w:r w:rsidRPr="004F0E3E"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Target Amount</w:t>
            </w:r>
            <w:r w:rsidRPr="004F0E3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”) for the working capital accounts (</w:t>
            </w:r>
            <w:r w:rsidR="00267FA3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certain MISO accounts</w:t>
            </w:r>
            <w:r w:rsidRPr="004F0E3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 inventory, and accounts payable) (“</w:t>
            </w:r>
            <w:r w:rsidRPr="004F0E3E"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Working Capital</w:t>
            </w:r>
            <w:r w:rsidRPr="004F0E3E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”). To the extent the actual closing amount for Working Capital is higher or lower than the Target Amount, the Purchase Price will be adjusted accordingly (upward or downward on a dollar-for-dollar basis).</w:t>
            </w:r>
          </w:p>
        </w:tc>
      </w:tr>
      <w:tr w:rsidR="00E94163" w:rsidTr="00360B0B" w14:paraId="1836EB6E" w14:textId="77777777">
        <w:tc>
          <w:tcPr>
            <w:tcW w:w="2515" w:type="dxa"/>
          </w:tcPr>
          <w:p w:rsidRPr="00360B0B" w:rsidR="00E94163" w:rsidP="00EE4A41" w:rsidRDefault="00D962C4" w14:paraId="5341011D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Signing; </w:t>
            </w:r>
            <w:r w:rsidRPr="00360B0B" w:rsidR="00923556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Closing</w:t>
            </w:r>
          </w:p>
        </w:tc>
        <w:tc>
          <w:tcPr>
            <w:tcW w:w="6835" w:type="dxa"/>
          </w:tcPr>
          <w:p w:rsidRPr="00E94163" w:rsidR="00E94163" w:rsidP="00D962C4" w:rsidRDefault="00980369" w14:paraId="7FD48D1F" w14:textId="77777777">
            <w:pPr>
              <w:widowControl w:val="0"/>
              <w:tabs>
                <w:tab w:val="left" w:pos="2550"/>
              </w:tabs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 w:rsid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 w:rsidRPr="00923556" w:rsid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would anticipate signing </w:t>
            </w:r>
            <w:r w:rsid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the Purchase Agreement</w:t>
            </w:r>
            <w:r w:rsidRPr="00923556" w:rsid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would plan, assuming all closing conditions are met, to close and fund the transaction </w:t>
            </w:r>
            <w:r w:rsidR="00D962C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within a reasonable time after all conditions to closing are satisfied</w:t>
            </w:r>
            <w:r w:rsidRPr="00923556" w:rsidR="00923556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E94163" w:rsidTr="00360B0B" w14:paraId="57B3BF00" w14:textId="77777777">
        <w:tc>
          <w:tcPr>
            <w:tcW w:w="2515" w:type="dxa"/>
          </w:tcPr>
          <w:p w:rsidRPr="00360B0B" w:rsidR="00E94163" w:rsidP="00EE4A41" w:rsidRDefault="00D962C4" w14:paraId="0DF29688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Conditions to Closing</w:t>
            </w:r>
          </w:p>
        </w:tc>
        <w:tc>
          <w:tcPr>
            <w:tcW w:w="6835" w:type="dxa"/>
          </w:tcPr>
          <w:p w:rsidR="00E94163" w:rsidP="000A5EA2" w:rsidRDefault="00D962C4" w14:paraId="2E85A265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D962C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In addition to such conditions to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c</w:t>
            </w:r>
            <w:r w:rsidRPr="00D962C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losing as may be usual and customary,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 w:rsidRPr="00D962C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’s obligation to consummate the Transaction will be contingent upon satisfaction of the following specific conditions prior to and/or at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c</w:t>
            </w:r>
            <w:r w:rsidRPr="00D962C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losing as appropriate: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(i)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will have completed its due diligence investigation and will be satisfied with the results of its investigation of the Assets and the Seller’s business; </w:t>
            </w:r>
            <w:r w:rsidR="00CE036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(ii) AESI shall have obtained all necessary regulatory approvals to consummate the Transaction</w:t>
            </w:r>
            <w:r w:rsidR="0004641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including </w:t>
            </w:r>
            <w:r w:rsidR="00B1094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those to be issued by </w:t>
            </w:r>
            <w:r w:rsidR="0004641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the Indiana Utility Regulatory Commission</w:t>
            </w:r>
            <w:r w:rsidR="00CE036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(ii</w:t>
            </w:r>
            <w:r w:rsidR="00CE036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) the Seller will have </w:t>
            </w:r>
            <w:r w:rsidRPr="00D962C4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good and marketable title to the Assets and will deliver and transfer all of the Assets to </w:t>
            </w:r>
            <w:r w:rsidR="00980369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AESI</w:t>
            </w:r>
            <w:r w:rsidRPr="00D962C4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at the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c</w:t>
            </w:r>
            <w:r w:rsidRPr="00D962C4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losing, free and clear of all debts, liens, security interests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,</w:t>
            </w:r>
            <w:r w:rsidRPr="00D962C4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and encumbrances</w:t>
            </w:r>
            <w:r w:rsidR="00CE036C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; (iv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) the 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Seller shall have operated and conducted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its b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usiness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and its facilities 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in the normal course and there shall have been no material adverse change in the financial position, operations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,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or business of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the 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Seller or the condition of the Assets prior to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c</w:t>
            </w:r>
            <w:r w:rsidRPr="000A5EA2"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losing</w:t>
            </w:r>
            <w:r w:rsidR="00CE036C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; (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v) </w:t>
            </w:r>
            <w:r w:rsidR="004F0E3E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FERC and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all </w:t>
            </w:r>
            <w:r w:rsidR="004F0E3E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other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regulatory approvals</w:t>
            </w:r>
            <w:r w:rsidR="00912CD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shall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 xml:space="preserve"> have 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lastRenderedPageBreak/>
              <w:t>been obtained; and (v</w:t>
            </w:r>
            <w:r w:rsidR="00CE036C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i</w:t>
            </w:r>
            <w:r w:rsidR="000A5EA2"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  <w:t>) [OTHER DEAL-SPECIFIC CONDITIONS].</w:t>
            </w:r>
          </w:p>
        </w:tc>
      </w:tr>
      <w:tr w:rsidR="00CB16F2" w:rsidTr="00360B0B" w14:paraId="14729ED0" w14:textId="77777777">
        <w:tc>
          <w:tcPr>
            <w:tcW w:w="2515" w:type="dxa"/>
          </w:tcPr>
          <w:p w:rsidRPr="00360B0B" w:rsidR="00CB16F2" w:rsidP="00DA06C3" w:rsidRDefault="00DA06C3" w14:paraId="25B359B0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>Indemnification</w:t>
            </w:r>
          </w:p>
        </w:tc>
        <w:tc>
          <w:tcPr>
            <w:tcW w:w="6835" w:type="dxa"/>
          </w:tcPr>
          <w:p w:rsidR="00C90E92" w:rsidP="00BB2984" w:rsidRDefault="00DF4D96" w14:paraId="6C8483FC" w14:textId="6959C450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Purchase Agreement will contain customary representations and </w:t>
            </w:r>
            <w:r w:rsidRPr="00603E1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warran</w:t>
            </w:r>
            <w:bookmarkStart w:name="_GoBack" w:id="19"/>
            <w:bookmarkEnd w:id="19"/>
            <w:r w:rsidRPr="00603E1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ties for transactions of a similar kind as the Transaction</w:t>
            </w:r>
            <w:r w:rsidRPr="00603E12"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covering areas such as</w:t>
            </w:r>
            <w:r w:rsidRPr="00603E12" w:rsidR="002857FA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(but not limited to)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:(i)</w:t>
            </w:r>
            <w:r w:rsidRPr="00603E12"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real estate, 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(ii) </w:t>
            </w:r>
            <w:r w:rsidRPr="00603E12"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tax,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(iii) compliance with law, including, without limitation, anti-corruption laws relating to bribery or corruption</w:t>
            </w:r>
            <w:r w:rsidRPr="00603E12" w:rsidR="003B599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</w:t>
            </w:r>
            <w:r w:rsidRPr="00603E12" w:rsidR="001C759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prohibited payments or transactions, </w:t>
            </w:r>
            <w:r w:rsidRPr="00603E12" w:rsidR="003B599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anti-money laundering, anti-terrorism, anti-boycott laws, the United States Foreign Corrupt Practices Act,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 w:rsidRPr="00603E12" w:rsidR="001C759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Tariffs, 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economic or financial sanctions or trade embargoes</w:t>
            </w:r>
            <w:r w:rsidRPr="00603E12" w:rsidR="001C759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forced labor</w:t>
            </w:r>
            <w:r w:rsidRPr="00603E12" w:rsidR="001C759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603E12" w:rsidR="007C2D6B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other similar AESI compliance terms</w:t>
            </w:r>
            <w:r w:rsidRPr="00603E12"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 (iv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)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permits,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(v) 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environmental,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(vi)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contracts,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(vii) 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insurance,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(viii) 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employ</w:t>
            </w:r>
            <w:r w:rsidR="0095778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ment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matters</w:t>
            </w:r>
            <w:r w:rsidR="0095778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(ix) </w:t>
            </w:r>
            <w:r w:rsidR="0095778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employee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benefits,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(x) </w:t>
            </w:r>
            <w:r w:rsidR="0095778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IP rights, 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(xi) </w:t>
            </w:r>
            <w:r w:rsidR="00BA1E3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financial </w:t>
            </w:r>
            <w:r w:rsidR="009D319F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information</w:t>
            </w:r>
            <w:r w:rsidR="00E961F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 and (xii) no material adverse change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. 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general representations and warranties of </w:t>
            </w:r>
            <w:r w:rsidR="00DA06C3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Parties will survive until </w:t>
            </w:r>
            <w:r w:rsidR="00C90E9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36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months after the closing of the Transaction</w:t>
            </w:r>
            <w:r w:rsidR="00330F5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(the “</w:t>
            </w:r>
            <w:r w:rsidR="00330F55"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</w:rPr>
              <w:t>Survival Date</w:t>
            </w:r>
            <w:r w:rsidRPr="00330F55" w:rsidR="00330F5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”)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; </w:t>
            </w:r>
            <w:r w:rsidRPr="00DF4D96" w:rsidR="00CB16F2"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>provided, however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that certain fundamental representations and warranties (to be identified by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during its diligence investigation) will survive for a longer period; and </w:t>
            </w:r>
            <w:r w:rsidRPr="00DF4D96" w:rsidR="00CB16F2"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  <w:t>provided further</w:t>
            </w:r>
            <w:r w:rsidR="00CB16F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that </w:t>
            </w:r>
            <w:r w:rsidRPr="00BB2984" w:rsidR="00BB298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liability for fraud or any breach covenants or agreements </w:t>
            </w:r>
            <w:r w:rsidR="00BB298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will survive indefinitely</w:t>
            </w:r>
            <w:r w:rsidRPr="00BB2984" w:rsidR="00BB298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.</w:t>
            </w:r>
            <w:r w:rsidR="00BB298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</w:p>
          <w:p w:rsidR="00C90E92" w:rsidP="00BB2984" w:rsidRDefault="00A7420A" w14:paraId="32C84C97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indemnity for breaches of </w:t>
            </w:r>
            <w:r w:rsidR="003B0081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representations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warranties (other than fundamental representations and warranties</w:t>
            </w:r>
            <w:r w:rsidR="003C79C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fraud-type claims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) will be subject to a tipping basket of </w:t>
            </w:r>
            <w:r w:rsidR="003B0081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0.5% of the Purchase Price. </w:t>
            </w:r>
          </w:p>
          <w:p w:rsidR="00CB16F2" w:rsidP="00302D2B" w:rsidRDefault="003B0081" w14:paraId="492F0204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At the closing,</w:t>
            </w:r>
            <w:r w:rsidR="007C66B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in lieu of a Parental Guaranty or letter of credit,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AESI will deposit into a third-party escrow 15% of the Purchase Price in cash to be released to the Seller (less any amount that is at such time subject to pending claims for indemnification) </w:t>
            </w:r>
            <w:r w:rsidR="00330F55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on the Survival Date.</w:t>
            </w:r>
          </w:p>
          <w:p w:rsidRPr="00D962C4" w:rsidR="00302D2B" w:rsidP="00A44CEB" w:rsidRDefault="004F6A33" w14:paraId="2B6D2008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The aggregate maximum liability arising out of claims for breaches of representations and warranties is 15% of the Purchase Price, except for (i) fraud-type claims</w:t>
            </w:r>
            <w:r w:rsidR="00D1340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(which have no cap), (ii) breaches of fundamental representations and warranties (which have no cap), </w:t>
            </w:r>
            <w:r w:rsidR="00A44CEB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and </w:t>
            </w:r>
            <w:r w:rsidR="00D1340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(iii)</w:t>
            </w:r>
            <w:r w:rsidR="00A44CEB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 w:rsidR="00D1340C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breaches of tax and environmental representations and warranties (which will have a higher cap).</w:t>
            </w:r>
          </w:p>
        </w:tc>
      </w:tr>
      <w:tr w:rsidR="00CE036C" w:rsidTr="00360B0B" w14:paraId="50E7893B" w14:textId="77777777">
        <w:tc>
          <w:tcPr>
            <w:tcW w:w="2515" w:type="dxa"/>
          </w:tcPr>
          <w:p w:rsidRPr="00360B0B" w:rsidR="00A70CE8" w:rsidP="00A70CE8" w:rsidRDefault="00A70CE8" w14:paraId="0C43451E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  <w:r w:rsidRPr="00A70CE8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Performance Security and Guaranty</w:t>
            </w:r>
            <w:r w:rsidRPr="00A70CE8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ab/>
            </w:r>
          </w:p>
          <w:p w:rsidRPr="00360B0B" w:rsidR="00CE036C" w:rsidP="00A70CE8" w:rsidRDefault="00CE036C" w14:paraId="0BBF422E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</w:tcPr>
          <w:p w:rsidRPr="00A70CE8" w:rsidR="00A70CE8" w:rsidP="00A70CE8" w:rsidRDefault="00A70CE8" w14:paraId="435A8D9E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A70CE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Parental </w:t>
            </w:r>
            <w:r w:rsidR="0095093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G</w:t>
            </w:r>
            <w:r w:rsidRPr="00A70CE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uaranty from an investment grade party or Letter of Credit</w:t>
            </w:r>
            <w:r w:rsidR="004562E7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in an amount </w:t>
            </w:r>
            <w:r w:rsidR="00DA06C3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equal to a [   ]% of the Purchase Price and </w:t>
            </w:r>
            <w:r w:rsidR="003C79C0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will</w:t>
            </w:r>
            <w:r w:rsidR="00DA06C3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continue for</w:t>
            </w:r>
            <w:r w:rsidR="00C90E9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the duration of 36</w:t>
            </w:r>
            <w:r w:rsidR="00DA06C3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months.</w:t>
            </w:r>
          </w:p>
          <w:p w:rsidR="00CE036C" w:rsidP="00A70CE8" w:rsidRDefault="00A70CE8" w14:paraId="03F7B501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A70CE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Surety Bond will not be acceptable</w:t>
            </w:r>
          </w:p>
        </w:tc>
      </w:tr>
      <w:tr w:rsidR="00B56780" w:rsidTr="00360B0B" w14:paraId="07D29A27" w14:textId="77777777">
        <w:tc>
          <w:tcPr>
            <w:tcW w:w="2515" w:type="dxa"/>
          </w:tcPr>
          <w:p w:rsidRPr="00360B0B" w:rsidR="00B56780" w:rsidP="00EE4A41" w:rsidRDefault="000A5EA2" w14:paraId="5D887A2B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lastRenderedPageBreak/>
              <w:t>Other Provisions</w:t>
            </w:r>
          </w:p>
        </w:tc>
        <w:tc>
          <w:tcPr>
            <w:tcW w:w="6835" w:type="dxa"/>
          </w:tcPr>
          <w:p w:rsidRPr="00D94A3E" w:rsidR="00B56780" w:rsidP="000A5EA2" w:rsidRDefault="000A5EA2" w14:paraId="57C3A660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The Purchase Agreement also will contain usual and customary representations, warranties, covenants, indemnities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other agreements by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Seller,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Seller’s owner(s)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and </w:t>
            </w:r>
            <w:r w:rsidR="00980369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AESI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, as appropriate. The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c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losing also will be subject to usual and customary conditions, including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without limitation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 obtaining all necessary consents and approvals of governmental bodies, lenders, lessors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or other third parties, if any, for the consummation of the Transaction, the absence of pending or threatened litigation regarding the Assets,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the 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Seller, the Transaction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,</w:t>
            </w:r>
            <w:r w:rsidRPr="000A5EA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or the Purchase Agreement, and the delivery of customary closing certificates and other documentation.</w:t>
            </w:r>
          </w:p>
        </w:tc>
      </w:tr>
      <w:tr w:rsidR="00B56780" w:rsidTr="00360B0B" w14:paraId="09E672F3" w14:textId="77777777">
        <w:tc>
          <w:tcPr>
            <w:tcW w:w="2515" w:type="dxa"/>
          </w:tcPr>
          <w:p w:rsidRPr="00360B0B" w:rsidR="00B56780" w:rsidP="00EE4A41" w:rsidRDefault="00D87931" w14:paraId="35708583" w14:textId="77777777">
            <w:pPr>
              <w:widowControl w:val="0"/>
              <w:spacing w:before="120" w:after="120"/>
              <w:ind w:right="-20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360B0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Governing Law</w:t>
            </w:r>
          </w:p>
        </w:tc>
        <w:tc>
          <w:tcPr>
            <w:tcW w:w="6835" w:type="dxa"/>
          </w:tcPr>
          <w:p w:rsidRPr="00224F2D" w:rsidR="00B56780" w:rsidP="003F3E72" w:rsidRDefault="003F3E72" w14:paraId="38BEC709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The Purchase Agreement</w:t>
            </w:r>
            <w:r w:rsidRPr="00224F2D" w:rsidR="001526C8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 will be governed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and construed in accordance with the laws of the State of</w:t>
            </w:r>
            <w:r w:rsidR="00923D5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 Indiana.</w:t>
            </w:r>
          </w:p>
        </w:tc>
      </w:tr>
      <w:tr w:rsidR="00A70CE8" w:rsidTr="00360B0B" w14:paraId="6FDCE3EF" w14:textId="77777777">
        <w:tc>
          <w:tcPr>
            <w:tcW w:w="2515" w:type="dxa"/>
          </w:tcPr>
          <w:p w:rsidRPr="00A70CE8" w:rsidR="00A70CE8" w:rsidP="00A70CE8" w:rsidRDefault="00A70CE8" w14:paraId="68D47D1C" w14:textId="77777777">
            <w:pPr>
              <w:widowControl w:val="0"/>
              <w:spacing w:before="120" w:after="120"/>
              <w:ind w:right="-20"/>
            </w:pPr>
            <w:r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 xml:space="preserve">Dispute </w:t>
            </w:r>
            <w:r w:rsidRPr="00A70CE8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Resolution</w:t>
            </w:r>
          </w:p>
        </w:tc>
        <w:tc>
          <w:tcPr>
            <w:tcW w:w="6835" w:type="dxa"/>
          </w:tcPr>
          <w:p w:rsidR="00A70CE8" w:rsidP="00046414" w:rsidRDefault="00923D52" w14:paraId="3AD09B26" w14:textId="77777777">
            <w:pPr>
              <w:widowControl w:val="0"/>
              <w:spacing w:before="120" w:after="120"/>
              <w:ind w:right="-20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 w:rsidRPr="00923D5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Step </w:t>
            </w:r>
            <w:r w:rsidR="00046414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negotiations at executive level followed by</w:t>
            </w:r>
            <w:r w:rsidRPr="00923D5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binding arbitration under </w:t>
            </w:r>
            <w:r w:rsidRPr="00923D52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CPR Institute for Dispute Resolution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. Jurisdiction and v</w:t>
            </w:r>
            <w:r w:rsidRPr="00224F2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enue for resolution of any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other</w:t>
            </w:r>
            <w:r w:rsidRPr="00224F2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dispute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or proceeding</w:t>
            </w:r>
            <w:r w:rsidRPr="00224F2D"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will be federal or state courts in Marion County, Indiana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. Waiver of jury trial.</w:t>
            </w:r>
          </w:p>
        </w:tc>
      </w:tr>
    </w:tbl>
    <w:p w:rsidRPr="00B2741B" w:rsidR="00B56780" w:rsidP="00B2741B" w:rsidRDefault="00B56780" w14:paraId="08212D95" w14:textId="77777777">
      <w:pPr>
        <w:widowControl w:val="0"/>
        <w:spacing w:before="120" w:after="120" w:line="240" w:lineRule="auto"/>
        <w:ind w:right="-20"/>
        <w:jc w:val="both"/>
        <w:rPr>
          <w:rFonts w:ascii="Times New Roman" w:hAnsi="Times New Roman" w:eastAsia="Times New Roman" w:cs="Times New Roman"/>
          <w:b/>
          <w:bCs/>
          <w:sz w:val="2"/>
          <w:szCs w:val="2"/>
        </w:rPr>
      </w:pPr>
    </w:p>
    <w:sectPr w:rsidRPr="00B2741B" w:rsidR="00B56780" w:rsidSect="00B27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09" w:rsidP="0026547A" w:rsidRDefault="00177B09" w14:paraId="70EAC862" w14:textId="77777777">
      <w:pPr>
        <w:spacing w:after="0" w:line="240" w:lineRule="auto"/>
      </w:pPr>
      <w:r>
        <w:separator/>
      </w:r>
    </w:p>
  </w:endnote>
  <w:endnote w:type="continuationSeparator" w:id="0">
    <w:p w:rsidR="00177B09" w:rsidP="0026547A" w:rsidRDefault="00177B09" w14:paraId="4319EF47" w14:textId="77777777">
      <w:pPr>
        <w:spacing w:after="0" w:line="240" w:lineRule="auto"/>
      </w:pPr>
      <w:r>
        <w:continuationSeparator/>
      </w:r>
    </w:p>
  </w:endnote>
  <w:endnote w:type="continuationNotice" w:id="1">
    <w:p w:rsidR="00177B09" w:rsidRDefault="00177B09" w14:paraId="1402B4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BF" w:rsidRDefault="004561BF" w14:paraId="03AE15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12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Pr="00DE48DF" w:rsidR="00DE48DF" w:rsidRDefault="00DE48DF" w14:paraId="5E7E15BE" w14:textId="66ECED3E">
        <w:pPr>
          <w:pStyle w:val="Footer"/>
          <w:jc w:val="center"/>
          <w:rPr>
            <w:rFonts w:ascii="Times New Roman" w:hAnsi="Times New Roman" w:cs="Times New Roman"/>
          </w:rPr>
        </w:pPr>
        <w:r w:rsidRPr="00DE48DF">
          <w:rPr>
            <w:rFonts w:ascii="Times New Roman" w:hAnsi="Times New Roman" w:cs="Times New Roman"/>
          </w:rPr>
          <w:fldChar w:fldCharType="begin"/>
        </w:r>
        <w:r w:rsidRPr="00DE48DF">
          <w:rPr>
            <w:rFonts w:ascii="Times New Roman" w:hAnsi="Times New Roman" w:cs="Times New Roman"/>
          </w:rPr>
          <w:instrText xml:space="preserve"> PAGE   \* MERGEFORMAT </w:instrText>
        </w:r>
        <w:r w:rsidRPr="00DE48DF">
          <w:rPr>
            <w:rFonts w:ascii="Times New Roman" w:hAnsi="Times New Roman" w:cs="Times New Roman"/>
          </w:rPr>
          <w:fldChar w:fldCharType="separate"/>
        </w:r>
        <w:r w:rsidR="00603E12">
          <w:rPr>
            <w:rFonts w:ascii="Times New Roman" w:hAnsi="Times New Roman" w:cs="Times New Roman"/>
            <w:noProof/>
          </w:rPr>
          <w:t>2</w:t>
        </w:r>
        <w:r w:rsidRPr="00DE48D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7079DA06" w:rsidP="7079DA06" w:rsidRDefault="7079DA06" w14:paraId="2615107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BF" w:rsidRDefault="004561BF" w14:paraId="2BAEB01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09" w:rsidP="0026547A" w:rsidRDefault="00177B09" w14:paraId="7BDE5403" w14:textId="77777777">
      <w:pPr>
        <w:spacing w:after="0" w:line="240" w:lineRule="auto"/>
      </w:pPr>
      <w:r>
        <w:separator/>
      </w:r>
    </w:p>
  </w:footnote>
  <w:footnote w:type="continuationSeparator" w:id="0">
    <w:p w:rsidR="00177B09" w:rsidP="0026547A" w:rsidRDefault="00177B09" w14:paraId="01305818" w14:textId="77777777">
      <w:pPr>
        <w:spacing w:after="0" w:line="240" w:lineRule="auto"/>
      </w:pPr>
      <w:r>
        <w:continuationSeparator/>
      </w:r>
    </w:p>
  </w:footnote>
  <w:footnote w:type="continuationNotice" w:id="1">
    <w:p w:rsidR="00177B09" w:rsidRDefault="00177B09" w14:paraId="259F08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BF" w:rsidRDefault="004561BF" w14:paraId="44378C1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79DA06" w:rsidTr="7079DA06" w14:paraId="025574C8" w14:textId="77777777">
      <w:tc>
        <w:tcPr>
          <w:tcW w:w="3120" w:type="dxa"/>
        </w:tcPr>
        <w:p w:rsidR="7079DA06" w:rsidP="7079DA06" w:rsidRDefault="7079DA06" w14:paraId="7E728796" w14:textId="77777777">
          <w:pPr>
            <w:pStyle w:val="Header"/>
            <w:ind w:left="-115"/>
          </w:pPr>
        </w:p>
      </w:tc>
      <w:tc>
        <w:tcPr>
          <w:tcW w:w="3120" w:type="dxa"/>
        </w:tcPr>
        <w:p w:rsidR="7079DA06" w:rsidP="7079DA06" w:rsidRDefault="7079DA06" w14:paraId="0AC879DC" w14:textId="77777777">
          <w:pPr>
            <w:pStyle w:val="Header"/>
            <w:jc w:val="center"/>
          </w:pPr>
        </w:p>
      </w:tc>
      <w:tc>
        <w:tcPr>
          <w:tcW w:w="3120" w:type="dxa"/>
        </w:tcPr>
        <w:p w:rsidR="7079DA06" w:rsidP="7079DA06" w:rsidRDefault="7079DA06" w14:paraId="47F7A3D8" w14:textId="77777777">
          <w:pPr>
            <w:pStyle w:val="Header"/>
            <w:ind w:right="-115"/>
            <w:jc w:val="right"/>
          </w:pPr>
        </w:p>
      </w:tc>
    </w:tr>
  </w:tbl>
  <w:p w:rsidR="7079DA06" w:rsidP="7079DA06" w:rsidRDefault="7079DA06" w14:paraId="236DD1E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BF" w:rsidRDefault="004561BF" w14:paraId="044730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3C67"/>
    <w:multiLevelType w:val="multilevel"/>
    <w:tmpl w:val="1A440620"/>
    <w:name w:val="ArticleListTemplate"/>
    <w:styleLink w:val="ArticleList"/>
    <w:lvl w:ilvl="0">
      <w:start w:val="1"/>
      <w:numFmt w:val="upperRoman"/>
      <w:pStyle w:val="Article1"/>
      <w:suff w:val="nothing"/>
      <w:lvlText w:val="Article %1"/>
      <w:lvlJc w:val="left"/>
      <w:pPr>
        <w:ind w:left="0" w:firstLine="0"/>
      </w:pPr>
      <w:rPr>
        <w:b w:val="0"/>
        <w:i w:val="0"/>
        <w:caps/>
        <w:smallCaps w:val="0"/>
        <w:strike w:val="0"/>
        <w:dstrike w:val="0"/>
        <w:color w:val="auto"/>
        <w:sz w:val="24"/>
      </w:rPr>
    </w:lvl>
    <w:lvl w:ilvl="1">
      <w:start w:val="1"/>
      <w:numFmt w:val="decimal"/>
      <w:pStyle w:val="Article2"/>
      <w:isLgl/>
      <w:lvlText w:val="Section %1.%2"/>
      <w:lvlJc w:val="left"/>
      <w:pPr>
        <w:tabs>
          <w:tab w:val="num" w:pos="2880"/>
        </w:tabs>
        <w:ind w:left="0" w:firstLine="1440"/>
      </w:pPr>
      <w:rPr>
        <w:rFonts w:hint="default"/>
        <w:strike w:val="0"/>
        <w:dstrike w:val="0"/>
        <w:color w:val="000000"/>
      </w:rPr>
    </w:lvl>
    <w:lvl w:ilvl="2">
      <w:start w:val="1"/>
      <w:numFmt w:val="lowerLetter"/>
      <w:lvlText w:val="(%3)"/>
      <w:lvlJc w:val="left"/>
      <w:pPr>
        <w:tabs>
          <w:tab w:val="num" w:pos="2736"/>
        </w:tabs>
        <w:ind w:left="0" w:firstLine="2160"/>
      </w:pPr>
      <w:rPr>
        <w:rFonts w:hint="default"/>
        <w:strike w:val="0"/>
        <w:dstrike w:val="0"/>
        <w:color w:val="000000"/>
      </w:rPr>
    </w:lvl>
    <w:lvl w:ilvl="3">
      <w:start w:val="1"/>
      <w:numFmt w:val="lowerRoman"/>
      <w:pStyle w:val="Article4"/>
      <w:lvlText w:val="(%4)"/>
      <w:lvlJc w:val="right"/>
      <w:pPr>
        <w:tabs>
          <w:tab w:val="num" w:pos="3427"/>
        </w:tabs>
        <w:ind w:left="720" w:firstLine="2520"/>
      </w:pPr>
      <w:rPr>
        <w:rFonts w:hint="default"/>
        <w:strike w:val="0"/>
        <w:dstrike w:val="0"/>
      </w:rPr>
    </w:lvl>
    <w:lvl w:ilvl="4">
      <w:start w:val="1"/>
      <w:numFmt w:val="decimal"/>
      <w:pStyle w:val="Article5"/>
      <w:lvlText w:val="(%5)"/>
      <w:lvlJc w:val="left"/>
      <w:pPr>
        <w:tabs>
          <w:tab w:val="num" w:pos="3960"/>
        </w:tabs>
        <w:ind w:left="720" w:firstLine="2707"/>
      </w:pPr>
      <w:rPr>
        <w:rFonts w:hint="default"/>
        <w:strike w:val="0"/>
        <w:dstrike w:val="0"/>
      </w:rPr>
    </w:lvl>
    <w:lvl w:ilvl="5">
      <w:start w:val="1"/>
      <w:numFmt w:val="upperLetter"/>
      <w:pStyle w:val="Article6"/>
      <w:lvlText w:val="(%6)"/>
      <w:lvlJc w:val="left"/>
      <w:pPr>
        <w:tabs>
          <w:tab w:val="num" w:pos="4507"/>
        </w:tabs>
        <w:ind w:left="1440" w:firstLine="2520"/>
      </w:pPr>
      <w:rPr>
        <w:rFonts w:hint="default"/>
        <w:strike w:val="0"/>
        <w:dstrike w:val="0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strike w:val="0"/>
        <w:dstrike w:val="0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strike w:val="0"/>
        <w:dstrike w:val="0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strike w:val="0"/>
        <w:dstrike w:val="0"/>
      </w:rPr>
    </w:lvl>
  </w:abstractNum>
  <w:num w:numId="1">
    <w:abstractNumId w:val="0"/>
    <w:lvlOverride w:ilvl="0">
      <w:lvl w:ilvl="0">
        <w:start w:val="1"/>
        <w:numFmt w:val="upperRoman"/>
        <w:pStyle w:val="Article1"/>
        <w:suff w:val="nothing"/>
        <w:lvlText w:val="Article %1"/>
        <w:lvlJc w:val="left"/>
        <w:pPr>
          <w:ind w:left="0" w:firstLine="0"/>
        </w:pPr>
        <w:rPr>
          <w:rFonts w:ascii="Times New Roman" w:hAnsi="Times New Roman" w:hint="default"/>
          <w:b w:val="0"/>
          <w:i w:val="0"/>
          <w:caps/>
          <w:smallCaps w:val="0"/>
          <w:strike w:val="0"/>
          <w:dstrike w:val="0"/>
          <w:color w:val="auto"/>
          <w:sz w:val="24"/>
        </w:rPr>
      </w:lvl>
    </w:lvlOverride>
    <w:lvlOverride w:ilvl="1">
      <w:lvl w:ilvl="1">
        <w:start w:val="1"/>
        <w:numFmt w:val="decimal"/>
        <w:pStyle w:val="Article2"/>
        <w:isLgl/>
        <w:lvlText w:val="Section %1.%2"/>
        <w:lvlJc w:val="left"/>
        <w:pPr>
          <w:tabs>
            <w:tab w:val="num" w:pos="2880"/>
          </w:tabs>
          <w:ind w:left="0" w:firstLine="1440"/>
        </w:pPr>
        <w:rPr>
          <w:rFonts w:hint="default"/>
          <w:strike w:val="0"/>
          <w:dstrike w:val="0"/>
          <w:color w:val="00000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2736"/>
          </w:tabs>
          <w:ind w:left="720" w:firstLine="1440"/>
        </w:pPr>
        <w:rPr>
          <w:rFonts w:hint="default"/>
          <w:strike w:val="0"/>
          <w:dstrike w:val="0"/>
          <w:color w:val="000000"/>
        </w:rPr>
      </w:lvl>
    </w:lvlOverride>
    <w:lvlOverride w:ilvl="3">
      <w:lvl w:ilvl="3">
        <w:start w:val="1"/>
        <w:numFmt w:val="lowerRoman"/>
        <w:pStyle w:val="Article4"/>
        <w:lvlText w:val="(%4)"/>
        <w:lvlJc w:val="right"/>
        <w:pPr>
          <w:tabs>
            <w:tab w:val="num" w:pos="3427"/>
          </w:tabs>
          <w:ind w:left="720" w:firstLine="2520"/>
        </w:pPr>
        <w:rPr>
          <w:rFonts w:hint="default"/>
          <w:strike w:val="0"/>
          <w:dstrike w:val="0"/>
          <w:color w:val="auto"/>
        </w:rPr>
      </w:lvl>
    </w:lvlOverride>
    <w:lvlOverride w:ilvl="4">
      <w:lvl w:ilvl="4">
        <w:start w:val="1"/>
        <w:numFmt w:val="decimal"/>
        <w:pStyle w:val="Article5"/>
        <w:lvlText w:val="(%5)"/>
        <w:lvlJc w:val="left"/>
        <w:pPr>
          <w:tabs>
            <w:tab w:val="num" w:pos="3960"/>
          </w:tabs>
          <w:ind w:left="720" w:firstLine="2707"/>
        </w:pPr>
        <w:rPr>
          <w:rFonts w:hint="default"/>
          <w:strike w:val="0"/>
          <w:dstrike w:val="0"/>
        </w:rPr>
      </w:lvl>
    </w:lvlOverride>
    <w:lvlOverride w:ilvl="5">
      <w:lvl w:ilvl="5">
        <w:start w:val="1"/>
        <w:numFmt w:val="upperLetter"/>
        <w:pStyle w:val="Article6"/>
        <w:lvlText w:val="(%6)"/>
        <w:lvlJc w:val="left"/>
        <w:pPr>
          <w:tabs>
            <w:tab w:val="num" w:pos="4507"/>
          </w:tabs>
          <w:ind w:left="1440" w:firstLine="2520"/>
        </w:pPr>
        <w:rPr>
          <w:rFonts w:hint="default"/>
          <w:strike w:val="0"/>
          <w:dstrike w:val="0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  <w:strike w:val="0"/>
          <w:dstrike w:val="0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  <w:strike w:val="0"/>
          <w:dstrike w:val="0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  <w:strike w:val="0"/>
          <w:dstrike w:val="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A"/>
    <w:rsid w:val="000024C2"/>
    <w:rsid w:val="00006BA8"/>
    <w:rsid w:val="00046414"/>
    <w:rsid w:val="0005128E"/>
    <w:rsid w:val="00084355"/>
    <w:rsid w:val="000A333F"/>
    <w:rsid w:val="000A5EA2"/>
    <w:rsid w:val="000C4335"/>
    <w:rsid w:val="000D0FCF"/>
    <w:rsid w:val="000D385C"/>
    <w:rsid w:val="00124B2E"/>
    <w:rsid w:val="001526C8"/>
    <w:rsid w:val="00155C7A"/>
    <w:rsid w:val="00177B09"/>
    <w:rsid w:val="001C7595"/>
    <w:rsid w:val="001E4C92"/>
    <w:rsid w:val="00205090"/>
    <w:rsid w:val="00220E19"/>
    <w:rsid w:val="00224F2D"/>
    <w:rsid w:val="00247B44"/>
    <w:rsid w:val="00251057"/>
    <w:rsid w:val="00253DFA"/>
    <w:rsid w:val="0025697D"/>
    <w:rsid w:val="0026547A"/>
    <w:rsid w:val="00267FA3"/>
    <w:rsid w:val="002732AC"/>
    <w:rsid w:val="002857FA"/>
    <w:rsid w:val="002C5718"/>
    <w:rsid w:val="002D6850"/>
    <w:rsid w:val="002F2514"/>
    <w:rsid w:val="00302D2B"/>
    <w:rsid w:val="00313C31"/>
    <w:rsid w:val="00330F55"/>
    <w:rsid w:val="0035799F"/>
    <w:rsid w:val="00360B0B"/>
    <w:rsid w:val="00363087"/>
    <w:rsid w:val="003750AD"/>
    <w:rsid w:val="003B0081"/>
    <w:rsid w:val="003B5998"/>
    <w:rsid w:val="003C79C0"/>
    <w:rsid w:val="003E0F6D"/>
    <w:rsid w:val="003F3E72"/>
    <w:rsid w:val="00404AD1"/>
    <w:rsid w:val="00411F54"/>
    <w:rsid w:val="00420450"/>
    <w:rsid w:val="00437AEB"/>
    <w:rsid w:val="004561BF"/>
    <w:rsid w:val="004562E7"/>
    <w:rsid w:val="004B7843"/>
    <w:rsid w:val="004D7BFF"/>
    <w:rsid w:val="004E29F0"/>
    <w:rsid w:val="004F0E3E"/>
    <w:rsid w:val="004F6A33"/>
    <w:rsid w:val="0050217D"/>
    <w:rsid w:val="00523B7A"/>
    <w:rsid w:val="00574821"/>
    <w:rsid w:val="0058477F"/>
    <w:rsid w:val="00596BEC"/>
    <w:rsid w:val="005A6F9C"/>
    <w:rsid w:val="005A7FE2"/>
    <w:rsid w:val="005C3C88"/>
    <w:rsid w:val="00603E12"/>
    <w:rsid w:val="00635F77"/>
    <w:rsid w:val="00651269"/>
    <w:rsid w:val="00651364"/>
    <w:rsid w:val="00677F31"/>
    <w:rsid w:val="0069651D"/>
    <w:rsid w:val="006A006A"/>
    <w:rsid w:val="007038DE"/>
    <w:rsid w:val="00710CAA"/>
    <w:rsid w:val="00743416"/>
    <w:rsid w:val="00764357"/>
    <w:rsid w:val="007B5069"/>
    <w:rsid w:val="007C2D6B"/>
    <w:rsid w:val="007C66BC"/>
    <w:rsid w:val="007D4127"/>
    <w:rsid w:val="00805E03"/>
    <w:rsid w:val="00812BFE"/>
    <w:rsid w:val="00844DFA"/>
    <w:rsid w:val="00892F41"/>
    <w:rsid w:val="00893895"/>
    <w:rsid w:val="00905F71"/>
    <w:rsid w:val="00912CD2"/>
    <w:rsid w:val="00922BDA"/>
    <w:rsid w:val="00923556"/>
    <w:rsid w:val="00923D52"/>
    <w:rsid w:val="00950938"/>
    <w:rsid w:val="00957780"/>
    <w:rsid w:val="009767CE"/>
    <w:rsid w:val="00980369"/>
    <w:rsid w:val="009A226A"/>
    <w:rsid w:val="009A3C7F"/>
    <w:rsid w:val="009D30E0"/>
    <w:rsid w:val="009D319F"/>
    <w:rsid w:val="009E5385"/>
    <w:rsid w:val="00A03FB1"/>
    <w:rsid w:val="00A127BF"/>
    <w:rsid w:val="00A24C44"/>
    <w:rsid w:val="00A429A6"/>
    <w:rsid w:val="00A44CEB"/>
    <w:rsid w:val="00A67A76"/>
    <w:rsid w:val="00A70CE8"/>
    <w:rsid w:val="00A7420A"/>
    <w:rsid w:val="00A94734"/>
    <w:rsid w:val="00AA0A45"/>
    <w:rsid w:val="00B10949"/>
    <w:rsid w:val="00B176E6"/>
    <w:rsid w:val="00B2741B"/>
    <w:rsid w:val="00B45E22"/>
    <w:rsid w:val="00B56780"/>
    <w:rsid w:val="00B605CA"/>
    <w:rsid w:val="00B7691A"/>
    <w:rsid w:val="00B91F19"/>
    <w:rsid w:val="00B931E6"/>
    <w:rsid w:val="00BA1E3C"/>
    <w:rsid w:val="00BB0236"/>
    <w:rsid w:val="00BB2984"/>
    <w:rsid w:val="00BC2B96"/>
    <w:rsid w:val="00C07E56"/>
    <w:rsid w:val="00C07F52"/>
    <w:rsid w:val="00C1671E"/>
    <w:rsid w:val="00C35923"/>
    <w:rsid w:val="00C90E92"/>
    <w:rsid w:val="00CA0B20"/>
    <w:rsid w:val="00CB16F2"/>
    <w:rsid w:val="00CC1353"/>
    <w:rsid w:val="00CC2C74"/>
    <w:rsid w:val="00CC3107"/>
    <w:rsid w:val="00CC6932"/>
    <w:rsid w:val="00CD1206"/>
    <w:rsid w:val="00CE036C"/>
    <w:rsid w:val="00D063B0"/>
    <w:rsid w:val="00D1340C"/>
    <w:rsid w:val="00D145DE"/>
    <w:rsid w:val="00D36938"/>
    <w:rsid w:val="00D63729"/>
    <w:rsid w:val="00D87931"/>
    <w:rsid w:val="00D87DEF"/>
    <w:rsid w:val="00D94A3E"/>
    <w:rsid w:val="00D962C4"/>
    <w:rsid w:val="00DA06C3"/>
    <w:rsid w:val="00DB2F2B"/>
    <w:rsid w:val="00DB3102"/>
    <w:rsid w:val="00DD2315"/>
    <w:rsid w:val="00DD4781"/>
    <w:rsid w:val="00DD5393"/>
    <w:rsid w:val="00DE48DF"/>
    <w:rsid w:val="00DF4D96"/>
    <w:rsid w:val="00E13818"/>
    <w:rsid w:val="00E265A9"/>
    <w:rsid w:val="00E45108"/>
    <w:rsid w:val="00E6296F"/>
    <w:rsid w:val="00E733CD"/>
    <w:rsid w:val="00E94163"/>
    <w:rsid w:val="00E961FD"/>
    <w:rsid w:val="00EA7C34"/>
    <w:rsid w:val="00EE3AC3"/>
    <w:rsid w:val="00EE4A41"/>
    <w:rsid w:val="00EE7B44"/>
    <w:rsid w:val="00EF7483"/>
    <w:rsid w:val="00F32979"/>
    <w:rsid w:val="00F349AB"/>
    <w:rsid w:val="00F45374"/>
    <w:rsid w:val="00F54011"/>
    <w:rsid w:val="00F66710"/>
    <w:rsid w:val="00F66C4C"/>
    <w:rsid w:val="00F734E2"/>
    <w:rsid w:val="00F976BE"/>
    <w:rsid w:val="00FA3DC9"/>
    <w:rsid w:val="00FC3734"/>
    <w:rsid w:val="00FD4260"/>
    <w:rsid w:val="00FD6997"/>
    <w:rsid w:val="00FE14DF"/>
    <w:rsid w:val="7079D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6E81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0E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0E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0E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30E0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30E0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4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47A"/>
  </w:style>
  <w:style w:type="paragraph" w:styleId="Footer">
    <w:name w:val="footer"/>
    <w:basedOn w:val="Normal"/>
    <w:link w:val="FooterChar"/>
    <w:uiPriority w:val="99"/>
    <w:unhideWhenUsed/>
    <w:rsid w:val="002654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47A"/>
  </w:style>
  <w:style w:type="paragraph" w:styleId="NoSpacing">
    <w:name w:val="No Spacing"/>
    <w:uiPriority w:val="1"/>
    <w:qFormat/>
    <w:rsid w:val="009D30E0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9D30E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9D30E0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D30E0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D30E0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D30E0"/>
    <w:rPr>
      <w:rFonts w:asciiTheme="majorHAnsi" w:hAnsiTheme="majorHAnsi" w:eastAsiaTheme="majorEastAsia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9D30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734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1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76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1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769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1364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931E6"/>
  </w:style>
  <w:style w:type="character" w:styleId="eop" w:customStyle="1">
    <w:name w:val="eop"/>
    <w:basedOn w:val="DefaultParagraphFont"/>
    <w:rsid w:val="00B931E6"/>
  </w:style>
  <w:style w:type="paragraph" w:styleId="paragraph" w:customStyle="1">
    <w:name w:val="paragraph"/>
    <w:basedOn w:val="Normal"/>
    <w:rsid w:val="001526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rticle1" w:customStyle="1">
    <w:name w:val="Article1"/>
    <w:basedOn w:val="Normal"/>
    <w:next w:val="Article2"/>
    <w:rsid w:val="009767CE"/>
    <w:pPr>
      <w:keepNext/>
      <w:keepLines/>
      <w:widowControl w:val="0"/>
      <w:numPr>
        <w:numId w:val="1"/>
      </w:numPr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hAnsi="Times New Roman" w:eastAsia="Times New Roman" w:cs="Times New Roman"/>
      <w:caps/>
      <w:sz w:val="24"/>
      <w:szCs w:val="24"/>
      <w:lang w:eastAsia="zh-CN"/>
    </w:rPr>
  </w:style>
  <w:style w:type="paragraph" w:styleId="Article2" w:customStyle="1">
    <w:name w:val="Article2"/>
    <w:basedOn w:val="Normal"/>
    <w:rsid w:val="009767CE"/>
    <w:pPr>
      <w:widowControl w:val="0"/>
      <w:numPr>
        <w:ilvl w:val="1"/>
        <w:numId w:val="1"/>
      </w:numPr>
      <w:autoSpaceDE w:val="0"/>
      <w:autoSpaceDN w:val="0"/>
      <w:adjustRightInd w:val="0"/>
      <w:spacing w:before="240" w:after="240" w:line="240" w:lineRule="auto"/>
      <w:outlineLvl w:val="1"/>
    </w:pPr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paragraph" w:styleId="Article4" w:customStyle="1">
    <w:name w:val="Article4"/>
    <w:basedOn w:val="Normal"/>
    <w:rsid w:val="009767CE"/>
    <w:pPr>
      <w:numPr>
        <w:ilvl w:val="3"/>
        <w:numId w:val="1"/>
      </w:numPr>
      <w:tabs>
        <w:tab w:val="left" w:pos="2880"/>
      </w:tabs>
      <w:spacing w:after="240" w:line="240" w:lineRule="auto"/>
      <w:outlineLvl w:val="3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Article5" w:customStyle="1">
    <w:name w:val="Article5"/>
    <w:basedOn w:val="Normal"/>
    <w:rsid w:val="009767CE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240" w:line="240" w:lineRule="auto"/>
      <w:ind w:right="720"/>
      <w:outlineLvl w:val="4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Article6" w:customStyle="1">
    <w:name w:val="Article6"/>
    <w:basedOn w:val="Normal"/>
    <w:rsid w:val="009767CE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240" w:line="240" w:lineRule="auto"/>
      <w:ind w:right="1440"/>
      <w:outlineLvl w:val="5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ArticleList" w:customStyle="1">
    <w:name w:val="ArticleList"/>
    <w:rsid w:val="009767CE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B16F2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CB1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